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FB" w:rsidRDefault="008635FB" w:rsidP="008635FB">
      <w:r>
        <w:t xml:space="preserve">To: </w:t>
      </w:r>
      <w:r>
        <w:tab/>
      </w:r>
      <w:r>
        <w:tab/>
        <w:t>Executive Team</w:t>
      </w:r>
    </w:p>
    <w:p w:rsidR="008635FB" w:rsidRDefault="008635FB" w:rsidP="008635FB"/>
    <w:p w:rsidR="008635FB" w:rsidRDefault="008635FB" w:rsidP="008635FB">
      <w:r>
        <w:t xml:space="preserve">From: </w:t>
      </w:r>
      <w:r>
        <w:tab/>
      </w:r>
      <w:r>
        <w:tab/>
      </w:r>
      <w:r w:rsidR="00BD4D20">
        <w:t>Maria Guzman</w:t>
      </w:r>
      <w:bookmarkStart w:id="0" w:name="_GoBack"/>
      <w:bookmarkEnd w:id="0"/>
    </w:p>
    <w:p w:rsidR="008635FB" w:rsidRDefault="008635FB" w:rsidP="008635FB"/>
    <w:p w:rsidR="00DB3A72" w:rsidRDefault="008635FB" w:rsidP="008635FB">
      <w:r>
        <w:t xml:space="preserve">Subject: </w:t>
      </w:r>
      <w:r>
        <w:tab/>
        <w:t>Annual Summary – 201</w:t>
      </w:r>
      <w:r w:rsidR="0097216A">
        <w:t>6</w:t>
      </w:r>
    </w:p>
    <w:p w:rsidR="008635FB" w:rsidRDefault="008635FB" w:rsidP="008635FB"/>
    <w:p w:rsidR="008635FB" w:rsidRDefault="008635FB" w:rsidP="008635FB"/>
    <w:p w:rsidR="008635FB" w:rsidRDefault="008635FB" w:rsidP="008635FB"/>
    <w:p w:rsidR="008635FB" w:rsidRDefault="008635FB" w:rsidP="008635FB">
      <w:r>
        <w:t xml:space="preserve">We had a good year with </w:t>
      </w:r>
      <w:r w:rsidR="0097216A">
        <w:t>our recycling collection sites</w:t>
      </w:r>
      <w:r>
        <w:t xml:space="preserve"> for fiscal year 201</w:t>
      </w:r>
      <w:r w:rsidR="0097216A">
        <w:t>6</w:t>
      </w:r>
      <w:r>
        <w:t xml:space="preserve"> </w:t>
      </w:r>
      <w:r w:rsidR="00E25CCD">
        <w:t>with</w:t>
      </w:r>
      <w:r>
        <w:t xml:space="preserve"> over </w:t>
      </w:r>
      <w:r w:rsidR="0097216A">
        <w:t>45,000 pounds of recyclable materials collected</w:t>
      </w:r>
      <w:r>
        <w:t xml:space="preserve">. </w:t>
      </w:r>
      <w:r w:rsidR="0097216A">
        <w:t>Richmond, Indiana had the highest overall collection 15,707 pounds</w:t>
      </w:r>
      <w:r>
        <w:t xml:space="preserve">. </w:t>
      </w:r>
      <w:r w:rsidR="00EA689F">
        <w:t>Marion, Iowa</w:t>
      </w:r>
      <w:r>
        <w:t xml:space="preserve"> came in as the second with </w:t>
      </w:r>
      <w:r w:rsidR="0097216A">
        <w:t>15,287 pounds</w:t>
      </w:r>
      <w:r w:rsidR="00EA689F">
        <w:t xml:space="preserve"> and</w:t>
      </w:r>
      <w:r w:rsidR="0097216A">
        <w:t xml:space="preserve"> Columbia was third with 14,873 pounds.</w:t>
      </w:r>
    </w:p>
    <w:p w:rsidR="008635FB" w:rsidRDefault="008635FB" w:rsidP="008635FB"/>
    <w:p w:rsidR="008635FB" w:rsidRDefault="008635FB" w:rsidP="008635FB">
      <w:r>
        <w:t xml:space="preserve">As we discussed in our recent off-site planning meeting, we will focus more attention </w:t>
      </w:r>
      <w:r w:rsidR="00EA689F">
        <w:t>increasing the collection at the Columbia site and possibly add a fourth site (Paris, Illinois) next year.</w:t>
      </w:r>
    </w:p>
    <w:p w:rsidR="008635FB" w:rsidRDefault="008635FB" w:rsidP="008635FB"/>
    <w:p w:rsidR="008635FB" w:rsidRDefault="008635FB" w:rsidP="008635FB">
      <w:r>
        <w:t xml:space="preserve">Here </w:t>
      </w:r>
      <w:r w:rsidR="00EA689F">
        <w:t>are</w:t>
      </w:r>
      <w:r>
        <w:t xml:space="preserve"> chart</w:t>
      </w:r>
      <w:r w:rsidR="00EA689F">
        <w:t>s</w:t>
      </w:r>
      <w:r>
        <w:t xml:space="preserve"> showing each </w:t>
      </w:r>
      <w:r w:rsidR="00EA689F">
        <w:t>site’s statistics for 2016:</w:t>
      </w:r>
    </w:p>
    <w:p w:rsidR="00315D56" w:rsidRDefault="00315D56" w:rsidP="00315D56"/>
    <w:p w:rsidR="00EA689F" w:rsidRDefault="00934B2A" w:rsidP="00315D56">
      <w:r>
        <w:rPr>
          <w:noProof/>
        </w:rPr>
        <w:drawing>
          <wp:inline distT="0" distB="0" distL="0" distR="0" wp14:anchorId="05139383" wp14:editId="5B0EBC10">
            <wp:extent cx="2957885" cy="1717482"/>
            <wp:effectExtent l="0" t="0" r="13970" b="165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EA689F">
        <w:rPr>
          <w:noProof/>
        </w:rPr>
        <w:drawing>
          <wp:inline distT="0" distB="0" distL="0" distR="0" wp14:anchorId="07A6AF95" wp14:editId="20AA8CD2">
            <wp:extent cx="2718960" cy="1700944"/>
            <wp:effectExtent l="0" t="0" r="5715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EA689F">
        <w:rPr>
          <w:noProof/>
        </w:rPr>
        <w:drawing>
          <wp:inline distT="0" distB="0" distL="0" distR="0" wp14:anchorId="49E915C7" wp14:editId="0DF543B2">
            <wp:extent cx="2957830" cy="1804946"/>
            <wp:effectExtent l="0" t="0" r="1397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E5D0AF" wp14:editId="0283C1EA">
            <wp:extent cx="2766999" cy="1772782"/>
            <wp:effectExtent l="0" t="0" r="14605" b="184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35FB" w:rsidRDefault="008635FB" w:rsidP="00934B2A">
      <w:pPr>
        <w:jc w:val="center"/>
      </w:pPr>
    </w:p>
    <w:sectPr w:rsidR="0086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FB"/>
    <w:rsid w:val="001208DB"/>
    <w:rsid w:val="00140E7A"/>
    <w:rsid w:val="00176013"/>
    <w:rsid w:val="00243F67"/>
    <w:rsid w:val="00315D56"/>
    <w:rsid w:val="008635FB"/>
    <w:rsid w:val="008744F3"/>
    <w:rsid w:val="00934B2A"/>
    <w:rsid w:val="0097216A"/>
    <w:rsid w:val="00BD4D20"/>
    <w:rsid w:val="00DB3A72"/>
    <w:rsid w:val="00E25CCD"/>
    <w:rsid w:val="00EA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8FF5C-278C-4CE0-82F6-E86396E4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ol\Documents\A%20New%20Perspectives%20Work\A%20Workfiles\Tutorial%206\Student%20Data%20Files\Work%20Files\Session%206.1\Mari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ol\Documents\A%20New%20Perspectives%20Work\A%20Workfiles\Tutorial%206\Student%20Data%20Files\Work%20Files\Session%206.1\Better%20World%20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Columbia Site - 2016 Collections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Summary!$B$5</c:f>
              <c:strCache>
                <c:ptCount val="1"/>
                <c:pt idx="0">
                  <c:v>Quarter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Summary!$B$6:$B$10</c:f>
              <c:numCache>
                <c:formatCode>_(* #,##0_);_(* \(#,##0\);_(* "-"??_);_(@_)</c:formatCode>
                <c:ptCount val="5"/>
                <c:pt idx="0">
                  <c:v>1311</c:v>
                </c:pt>
                <c:pt idx="1">
                  <c:v>891</c:v>
                </c:pt>
                <c:pt idx="2">
                  <c:v>989</c:v>
                </c:pt>
                <c:pt idx="3">
                  <c:v>97</c:v>
                </c:pt>
                <c:pt idx="4">
                  <c:v>436</c:v>
                </c:pt>
              </c:numCache>
            </c:numRef>
          </c:val>
        </c:ser>
        <c:ser>
          <c:idx val="1"/>
          <c:order val="1"/>
          <c:tx>
            <c:strRef>
              <c:f>Summary!$C$5</c:f>
              <c:strCache>
                <c:ptCount val="1"/>
                <c:pt idx="0">
                  <c:v>Quarter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Summary!$C$6:$C$10</c:f>
              <c:numCache>
                <c:formatCode>_(* #,##0_);_(* \(#,##0\);_(* "-"??_);_(@_)</c:formatCode>
                <c:ptCount val="5"/>
                <c:pt idx="0">
                  <c:v>1230</c:v>
                </c:pt>
                <c:pt idx="1">
                  <c:v>911</c:v>
                </c:pt>
                <c:pt idx="2">
                  <c:v>1050</c:v>
                </c:pt>
                <c:pt idx="3">
                  <c:v>195</c:v>
                </c:pt>
                <c:pt idx="4">
                  <c:v>415</c:v>
                </c:pt>
              </c:numCache>
            </c:numRef>
          </c:val>
        </c:ser>
        <c:ser>
          <c:idx val="2"/>
          <c:order val="2"/>
          <c:tx>
            <c:strRef>
              <c:f>Summary!$D$5</c:f>
              <c:strCache>
                <c:ptCount val="1"/>
                <c:pt idx="0">
                  <c:v>Quarter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Summary!$D$6:$D$10</c:f>
              <c:numCache>
                <c:formatCode>_(* #,##0_);_(* \(#,##0\);_(* "-"??_);_(@_)</c:formatCode>
                <c:ptCount val="5"/>
                <c:pt idx="0">
                  <c:v>914</c:v>
                </c:pt>
                <c:pt idx="1">
                  <c:v>728</c:v>
                </c:pt>
                <c:pt idx="2">
                  <c:v>1256</c:v>
                </c:pt>
                <c:pt idx="3">
                  <c:v>197</c:v>
                </c:pt>
                <c:pt idx="4">
                  <c:v>457</c:v>
                </c:pt>
              </c:numCache>
            </c:numRef>
          </c:val>
        </c:ser>
        <c:ser>
          <c:idx val="3"/>
          <c:order val="3"/>
          <c:tx>
            <c:strRef>
              <c:f>Summary!$E$5</c:f>
              <c:strCache>
                <c:ptCount val="1"/>
                <c:pt idx="0">
                  <c:v>Quarter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Summary!$E$6:$E$10</c:f>
              <c:numCache>
                <c:formatCode>_(* #,##0_);_(* \(#,##0\);_(* "-"??_);_(@_)</c:formatCode>
                <c:ptCount val="5"/>
                <c:pt idx="0">
                  <c:v>1126</c:v>
                </c:pt>
                <c:pt idx="1">
                  <c:v>770</c:v>
                </c:pt>
                <c:pt idx="2">
                  <c:v>1179</c:v>
                </c:pt>
                <c:pt idx="3">
                  <c:v>287</c:v>
                </c:pt>
                <c:pt idx="4">
                  <c:v>434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73495088"/>
        <c:axId val="-1473497264"/>
      </c:barChart>
      <c:catAx>
        <c:axId val="-147349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3497264"/>
        <c:crosses val="autoZero"/>
        <c:auto val="1"/>
        <c:lblAlgn val="ctr"/>
        <c:lblOffset val="100"/>
        <c:noMultiLvlLbl val="0"/>
      </c:catAx>
      <c:valAx>
        <c:axId val="-147349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349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Columbia Site -</a:t>
            </a:r>
            <a:r>
              <a:rPr lang="en-US" baseline="0"/>
              <a:t> 2016 Collections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Summary!$B$5</c:f>
              <c:strCache>
                <c:ptCount val="1"/>
                <c:pt idx="0">
                  <c:v>Quarter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Summary!$B$6:$B$10</c:f>
              <c:numCache>
                <c:formatCode>_(* #,##0_);_(* \(#,##0\);_(* "-"??_);_(@_)</c:formatCode>
                <c:ptCount val="5"/>
                <c:pt idx="0">
                  <c:v>1445</c:v>
                </c:pt>
                <c:pt idx="1">
                  <c:v>1494</c:v>
                </c:pt>
                <c:pt idx="2">
                  <c:v>828</c:v>
                </c:pt>
                <c:pt idx="3">
                  <c:v>183</c:v>
                </c:pt>
                <c:pt idx="4">
                  <c:v>950</c:v>
                </c:pt>
              </c:numCache>
            </c:numRef>
          </c:val>
        </c:ser>
        <c:ser>
          <c:idx val="1"/>
          <c:order val="1"/>
          <c:tx>
            <c:strRef>
              <c:f>Summary!$C$5</c:f>
              <c:strCache>
                <c:ptCount val="1"/>
                <c:pt idx="0">
                  <c:v>Quarter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Summary!$C$6:$C$10</c:f>
              <c:numCache>
                <c:formatCode>_(* #,##0_);_(* \(#,##0\);_(* "-"??_);_(@_)</c:formatCode>
                <c:ptCount val="5"/>
                <c:pt idx="0">
                  <c:v>1274</c:v>
                </c:pt>
                <c:pt idx="1">
                  <c:v>803</c:v>
                </c:pt>
                <c:pt idx="2">
                  <c:v>1120</c:v>
                </c:pt>
                <c:pt idx="3">
                  <c:v>120</c:v>
                </c:pt>
                <c:pt idx="4">
                  <c:v>554</c:v>
                </c:pt>
              </c:numCache>
            </c:numRef>
          </c:val>
        </c:ser>
        <c:ser>
          <c:idx val="2"/>
          <c:order val="2"/>
          <c:tx>
            <c:strRef>
              <c:f>Summary!$D$5</c:f>
              <c:strCache>
                <c:ptCount val="1"/>
                <c:pt idx="0">
                  <c:v>Quarter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Summary!$D$6:$D$10</c:f>
              <c:numCache>
                <c:formatCode>_(* #,##0_);_(* \(#,##0\);_(* "-"??_);_(@_)</c:formatCode>
                <c:ptCount val="5"/>
                <c:pt idx="0">
                  <c:v>950</c:v>
                </c:pt>
                <c:pt idx="1">
                  <c:v>665</c:v>
                </c:pt>
                <c:pt idx="2">
                  <c:v>1067</c:v>
                </c:pt>
                <c:pt idx="3">
                  <c:v>160</c:v>
                </c:pt>
                <c:pt idx="4">
                  <c:v>475</c:v>
                </c:pt>
              </c:numCache>
            </c:numRef>
          </c:val>
        </c:ser>
        <c:ser>
          <c:idx val="3"/>
          <c:order val="3"/>
          <c:tx>
            <c:strRef>
              <c:f>Summary!$E$5</c:f>
              <c:strCache>
                <c:ptCount val="1"/>
                <c:pt idx="0">
                  <c:v>Quarter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Summary!$E$6:$E$10</c:f>
              <c:numCache>
                <c:formatCode>_(* #,##0_);_(* \(#,##0\);_(* "-"??_);_(@_)</c:formatCode>
                <c:ptCount val="5"/>
                <c:pt idx="0">
                  <c:v>1261</c:v>
                </c:pt>
                <c:pt idx="1">
                  <c:v>806</c:v>
                </c:pt>
                <c:pt idx="2">
                  <c:v>846</c:v>
                </c:pt>
                <c:pt idx="3">
                  <c:v>261</c:v>
                </c:pt>
                <c:pt idx="4">
                  <c:v>445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73495632"/>
        <c:axId val="-1473494544"/>
        <c:axId val="0"/>
      </c:bar3DChart>
      <c:catAx>
        <c:axId val="-147349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3494544"/>
        <c:crosses val="autoZero"/>
        <c:auto val="1"/>
        <c:lblAlgn val="ctr"/>
        <c:lblOffset val="100"/>
        <c:noMultiLvlLbl val="0"/>
      </c:catAx>
      <c:valAx>
        <c:axId val="-147349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349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baseline="0"/>
              <a:t>Marion Site - 2016 Collections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Summary!$B$5</c:f>
              <c:strCache>
                <c:ptCount val="1"/>
                <c:pt idx="0">
                  <c:v>Quarter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Summary!$B$6:$B$10</c:f>
              <c:numCache>
                <c:formatCode>_(* #,##0_);_(* \(#,##0\);_(* "-"??_);_(@_)</c:formatCode>
                <c:ptCount val="5"/>
                <c:pt idx="0">
                  <c:v>895</c:v>
                </c:pt>
                <c:pt idx="1">
                  <c:v>1050</c:v>
                </c:pt>
                <c:pt idx="2">
                  <c:v>1220</c:v>
                </c:pt>
                <c:pt idx="3">
                  <c:v>100</c:v>
                </c:pt>
                <c:pt idx="4">
                  <c:v>450</c:v>
                </c:pt>
              </c:numCache>
            </c:numRef>
          </c:val>
        </c:ser>
        <c:ser>
          <c:idx val="1"/>
          <c:order val="1"/>
          <c:tx>
            <c:strRef>
              <c:f>Summary!$C$5</c:f>
              <c:strCache>
                <c:ptCount val="1"/>
                <c:pt idx="0">
                  <c:v>Quarter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Summary!$C$6:$C$10</c:f>
              <c:numCache>
                <c:formatCode>_(* #,##0_);_(* \(#,##0\);_(* "-"??_);_(@_)</c:formatCode>
                <c:ptCount val="5"/>
                <c:pt idx="0">
                  <c:v>1252</c:v>
                </c:pt>
                <c:pt idx="1">
                  <c:v>920</c:v>
                </c:pt>
                <c:pt idx="2">
                  <c:v>1034</c:v>
                </c:pt>
                <c:pt idx="3">
                  <c:v>162</c:v>
                </c:pt>
                <c:pt idx="4">
                  <c:v>361</c:v>
                </c:pt>
              </c:numCache>
            </c:numRef>
          </c:val>
        </c:ser>
        <c:ser>
          <c:idx val="2"/>
          <c:order val="2"/>
          <c:tx>
            <c:strRef>
              <c:f>Summary!$D$5</c:f>
              <c:strCache>
                <c:ptCount val="1"/>
                <c:pt idx="0">
                  <c:v>Quarter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Summary!$D$6:$D$10</c:f>
              <c:numCache>
                <c:formatCode>_(* #,##0_);_(* \(#,##0\);_(* "-"??_);_(@_)</c:formatCode>
                <c:ptCount val="5"/>
                <c:pt idx="0">
                  <c:v>900</c:v>
                </c:pt>
                <c:pt idx="1">
                  <c:v>782</c:v>
                </c:pt>
                <c:pt idx="2">
                  <c:v>1544</c:v>
                </c:pt>
                <c:pt idx="3">
                  <c:v>143</c:v>
                </c:pt>
                <c:pt idx="4">
                  <c:v>475</c:v>
                </c:pt>
              </c:numCache>
            </c:numRef>
          </c:val>
        </c:ser>
        <c:ser>
          <c:idx val="3"/>
          <c:order val="3"/>
          <c:tx>
            <c:strRef>
              <c:f>Summary!$E$5</c:f>
              <c:strCache>
                <c:ptCount val="1"/>
                <c:pt idx="0">
                  <c:v>Quarter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Summary!$E$6:$E$10</c:f>
              <c:numCache>
                <c:formatCode>_(* #,##0_);_(* \(#,##0\);_(* "-"??_);_(@_)</c:formatCode>
                <c:ptCount val="5"/>
                <c:pt idx="0">
                  <c:v>1261</c:v>
                </c:pt>
                <c:pt idx="1">
                  <c:v>806</c:v>
                </c:pt>
                <c:pt idx="2">
                  <c:v>1197</c:v>
                </c:pt>
                <c:pt idx="3">
                  <c:v>138</c:v>
                </c:pt>
                <c:pt idx="4">
                  <c:v>597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73488016"/>
        <c:axId val="-1473502160"/>
      </c:barChart>
      <c:catAx>
        <c:axId val="-147348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3502160"/>
        <c:crosses val="autoZero"/>
        <c:auto val="1"/>
        <c:lblAlgn val="ctr"/>
        <c:lblOffset val="100"/>
        <c:noMultiLvlLbl val="0"/>
      </c:catAx>
      <c:valAx>
        <c:axId val="-147350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348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Better World Recycling - Summary</a:t>
            </a:r>
            <a:r>
              <a:rPr lang="en-US" baseline="0"/>
              <a:t> Collections 2016</a:t>
            </a:r>
            <a:endParaRPr lang="en-US"/>
          </a:p>
        </c:rich>
      </c:tx>
      <c:layout>
        <c:manualLayout>
          <c:xMode val="edge"/>
          <c:yMode val="edge"/>
          <c:x val="0.11303378218415835"/>
          <c:y val="3.12415892477790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Summary!$B$5</c:f>
              <c:strCache>
                <c:ptCount val="1"/>
                <c:pt idx="0">
                  <c:v>Quarter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Summary!$B$6:$B$10</c:f>
              <c:numCache>
                <c:formatCode>_(* #,##0_);_(* \(#,##0\);_(* "-"??_);_(@_)</c:formatCode>
                <c:ptCount val="5"/>
                <c:pt idx="0">
                  <c:v>3651</c:v>
                </c:pt>
                <c:pt idx="1">
                  <c:v>3435</c:v>
                </c:pt>
                <c:pt idx="2">
                  <c:v>3037</c:v>
                </c:pt>
                <c:pt idx="3">
                  <c:v>380</c:v>
                </c:pt>
                <c:pt idx="4">
                  <c:v>1836</c:v>
                </c:pt>
              </c:numCache>
            </c:numRef>
          </c:val>
        </c:ser>
        <c:ser>
          <c:idx val="1"/>
          <c:order val="1"/>
          <c:tx>
            <c:strRef>
              <c:f>Summary!$C$5</c:f>
              <c:strCache>
                <c:ptCount val="1"/>
                <c:pt idx="0">
                  <c:v>Quarter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Summary!$C$6:$C$10</c:f>
              <c:numCache>
                <c:formatCode>_(* #,##0_);_(* \(#,##0\);_(* "-"??_);_(@_)</c:formatCode>
                <c:ptCount val="5"/>
                <c:pt idx="0">
                  <c:v>3756</c:v>
                </c:pt>
                <c:pt idx="1">
                  <c:v>2634</c:v>
                </c:pt>
                <c:pt idx="2">
                  <c:v>3204</c:v>
                </c:pt>
                <c:pt idx="3">
                  <c:v>477</c:v>
                </c:pt>
                <c:pt idx="4">
                  <c:v>1330</c:v>
                </c:pt>
              </c:numCache>
            </c:numRef>
          </c:val>
        </c:ser>
        <c:ser>
          <c:idx val="2"/>
          <c:order val="2"/>
          <c:tx>
            <c:strRef>
              <c:f>Summary!$D$5</c:f>
              <c:strCache>
                <c:ptCount val="1"/>
                <c:pt idx="0">
                  <c:v>Quarter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Summary!$D$6:$D$10</c:f>
              <c:numCache>
                <c:formatCode>_(* #,##0_);_(* \(#,##0\);_(* "-"??_);_(@_)</c:formatCode>
                <c:ptCount val="5"/>
                <c:pt idx="0">
                  <c:v>2764</c:v>
                </c:pt>
                <c:pt idx="1">
                  <c:v>2175</c:v>
                </c:pt>
                <c:pt idx="2">
                  <c:v>3867</c:v>
                </c:pt>
                <c:pt idx="3">
                  <c:v>500</c:v>
                </c:pt>
                <c:pt idx="4">
                  <c:v>1407</c:v>
                </c:pt>
              </c:numCache>
            </c:numRef>
          </c:val>
        </c:ser>
        <c:ser>
          <c:idx val="3"/>
          <c:order val="3"/>
          <c:tx>
            <c:strRef>
              <c:f>Summary!$E$5</c:f>
              <c:strCache>
                <c:ptCount val="1"/>
                <c:pt idx="0">
                  <c:v>Quarter 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Summary!$A$6:$A$10</c:f>
              <c:strCache>
                <c:ptCount val="5"/>
                <c:pt idx="0">
                  <c:v>Paper/Paperboard</c:v>
                </c:pt>
                <c:pt idx="1">
                  <c:v>Glass</c:v>
                </c:pt>
                <c:pt idx="2">
                  <c:v>Cans</c:v>
                </c:pt>
                <c:pt idx="3">
                  <c:v>Aluminum</c:v>
                </c:pt>
                <c:pt idx="4">
                  <c:v>Plastics</c:v>
                </c:pt>
              </c:strCache>
            </c:strRef>
          </c:cat>
          <c:val>
            <c:numRef>
              <c:f>Summary!$E$6:$E$10</c:f>
              <c:numCache>
                <c:formatCode>_(* #,##0_);_(* \(#,##0\);_(* "-"??_);_(@_)</c:formatCode>
                <c:ptCount val="5"/>
                <c:pt idx="0">
                  <c:v>3648</c:v>
                </c:pt>
                <c:pt idx="1">
                  <c:v>2382</c:v>
                </c:pt>
                <c:pt idx="2">
                  <c:v>3222</c:v>
                </c:pt>
                <c:pt idx="3">
                  <c:v>686</c:v>
                </c:pt>
                <c:pt idx="4">
                  <c:v>1476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74242256"/>
        <c:axId val="-1474241712"/>
        <c:axId val="0"/>
      </c:bar3DChart>
      <c:catAx>
        <c:axId val="-147424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4241712"/>
        <c:crosses val="autoZero"/>
        <c:auto val="1"/>
        <c:lblAlgn val="ctr"/>
        <c:lblOffset val="100"/>
        <c:noMultiLvlLbl val="0"/>
      </c:catAx>
      <c:valAx>
        <c:axId val="-147424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47424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Carol</cp:lastModifiedBy>
  <cp:revision>4</cp:revision>
  <dcterms:created xsi:type="dcterms:W3CDTF">2016-11-09T01:38:00Z</dcterms:created>
  <dcterms:modified xsi:type="dcterms:W3CDTF">2016-12-02T19:04:00Z</dcterms:modified>
</cp:coreProperties>
</file>